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1D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附件：</w:t>
      </w:r>
    </w:p>
    <w:p w14:paraId="66833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***项目征集方案模板</w:t>
      </w:r>
    </w:p>
    <w:p w14:paraId="1922CFD4">
      <w:pPr>
        <w:pStyle w:val="2"/>
        <w:rPr>
          <w:rFonts w:hint="default" w:ascii="Times New Roman" w:hAnsi="Times New Roman" w:cs="Times New Roman"/>
          <w:lang w:eastAsia="zh-CN"/>
        </w:rPr>
      </w:pPr>
    </w:p>
    <w:tbl>
      <w:tblPr>
        <w:tblStyle w:val="7"/>
        <w:tblW w:w="84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1109"/>
        <w:gridCol w:w="5679"/>
        <w:gridCol w:w="555"/>
        <w:gridCol w:w="556"/>
      </w:tblGrid>
      <w:tr w14:paraId="69BEB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58" w:type="dxa"/>
            <w:vAlign w:val="top"/>
          </w:tcPr>
          <w:p w14:paraId="2E494628">
            <w:pPr>
              <w:spacing w:before="75" w:line="230" w:lineRule="auto"/>
              <w:ind w:left="88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hint="default" w:ascii="Times New Roman" w:hAnsi="Times New Roman" w:eastAsia="宋体" w:cs="Times New Roman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109" w:type="dxa"/>
            <w:vAlign w:val="top"/>
          </w:tcPr>
          <w:p w14:paraId="37530030">
            <w:pPr>
              <w:spacing w:before="109" w:line="228" w:lineRule="auto"/>
              <w:ind w:left="171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hint="default" w:ascii="Times New Roman" w:hAnsi="Times New Roman" w:eastAsia="宋体" w:cs="Times New Roman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目明细</w:t>
            </w:r>
          </w:p>
        </w:tc>
        <w:tc>
          <w:tcPr>
            <w:tcW w:w="5679" w:type="dxa"/>
            <w:vAlign w:val="top"/>
          </w:tcPr>
          <w:p w14:paraId="18694619">
            <w:pPr>
              <w:spacing w:before="109" w:line="230" w:lineRule="auto"/>
              <w:ind w:left="2508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</w:t>
            </w:r>
            <w:r>
              <w:rPr>
                <w:rFonts w:hint="default" w:ascii="Times New Roman" w:hAnsi="Times New Roman" w:eastAsia="宋体" w:cs="Times New Roman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要要求</w:t>
            </w:r>
          </w:p>
        </w:tc>
        <w:tc>
          <w:tcPr>
            <w:tcW w:w="555" w:type="dxa"/>
            <w:vAlign w:val="top"/>
          </w:tcPr>
          <w:p w14:paraId="22F0615C">
            <w:pPr>
              <w:spacing w:before="76" w:line="228" w:lineRule="auto"/>
              <w:ind w:left="92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  <w:r>
              <w:rPr>
                <w:rFonts w:hint="default" w:ascii="Times New Roman" w:hAnsi="Times New Roman" w:eastAsia="宋体" w:cs="Times New Roman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量</w:t>
            </w:r>
          </w:p>
        </w:tc>
        <w:tc>
          <w:tcPr>
            <w:tcW w:w="556" w:type="dxa"/>
            <w:vAlign w:val="top"/>
          </w:tcPr>
          <w:p w14:paraId="676853E4">
            <w:pPr>
              <w:spacing w:before="75" w:line="229" w:lineRule="auto"/>
              <w:ind w:left="91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hint="default" w:ascii="Times New Roman" w:hAnsi="Times New Roman" w:eastAsia="宋体" w:cs="Times New Roman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</w:t>
            </w:r>
          </w:p>
        </w:tc>
      </w:tr>
      <w:tr w14:paraId="7BA28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7" w:hRule="atLeast"/>
        </w:trPr>
        <w:tc>
          <w:tcPr>
            <w:tcW w:w="558" w:type="dxa"/>
            <w:vAlign w:val="top"/>
          </w:tcPr>
          <w:p w14:paraId="1AFFEABD">
            <w:pPr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FB5CBF2">
            <w:pPr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EF69F02">
            <w:pPr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8A5D34F">
            <w:pPr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F3FA251">
            <w:pPr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D319A61">
            <w:pPr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0476848">
            <w:pPr>
              <w:spacing w:before="62" w:line="191" w:lineRule="auto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z w:val="19"/>
                <w:szCs w:val="19"/>
              </w:rPr>
              <w:t>1</w:t>
            </w:r>
          </w:p>
        </w:tc>
        <w:tc>
          <w:tcPr>
            <w:tcW w:w="1109" w:type="dxa"/>
            <w:vAlign w:val="top"/>
          </w:tcPr>
          <w:p w14:paraId="3E700D92">
            <w:pPr>
              <w:rPr>
                <w:rFonts w:hint="default" w:ascii="Times New Roman" w:hAnsi="Times New Roman" w:cs="Times New Roman"/>
                <w:sz w:val="21"/>
              </w:rPr>
            </w:pPr>
          </w:p>
          <w:p w14:paraId="69160BCF">
            <w:pPr>
              <w:rPr>
                <w:rFonts w:hint="default" w:ascii="Times New Roman" w:hAnsi="Times New Roman" w:cs="Times New Roman"/>
                <w:sz w:val="21"/>
              </w:rPr>
            </w:pPr>
          </w:p>
          <w:p w14:paraId="3A3BADA0">
            <w:pPr>
              <w:rPr>
                <w:rFonts w:hint="default" w:ascii="Times New Roman" w:hAnsi="Times New Roman" w:cs="Times New Roman"/>
                <w:sz w:val="21"/>
              </w:rPr>
            </w:pPr>
          </w:p>
          <w:p w14:paraId="4E327144">
            <w:pPr>
              <w:rPr>
                <w:rFonts w:hint="default" w:ascii="Times New Roman" w:hAnsi="Times New Roman" w:cs="Times New Roman"/>
                <w:sz w:val="21"/>
              </w:rPr>
            </w:pPr>
          </w:p>
          <w:p w14:paraId="5F3E8279">
            <w:pPr>
              <w:rPr>
                <w:rFonts w:hint="default" w:ascii="Times New Roman" w:hAnsi="Times New Roman" w:cs="Times New Roman"/>
                <w:sz w:val="21"/>
              </w:rPr>
            </w:pPr>
          </w:p>
          <w:p w14:paraId="4CE0FCED">
            <w:pPr>
              <w:rPr>
                <w:rFonts w:hint="default" w:ascii="Times New Roman" w:hAnsi="Times New Roman" w:cs="Times New Roman"/>
                <w:sz w:val="21"/>
              </w:rPr>
            </w:pPr>
          </w:p>
          <w:p w14:paraId="343B1A50">
            <w:pPr>
              <w:spacing w:before="62" w:line="228" w:lineRule="auto"/>
              <w:jc w:val="both"/>
              <w:rPr>
                <w:rFonts w:hint="default" w:ascii="Times New Roman" w:hAnsi="Times New Roman" w:eastAsia="宋体" w:cs="Times New Roman"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sz w:val="19"/>
                <w:szCs w:val="19"/>
              </w:rPr>
              <w:t>*</w:t>
            </w:r>
            <w:r>
              <w:rPr>
                <w:rFonts w:hint="default" w:ascii="Times New Roman" w:hAnsi="Times New Roman" w:eastAsia="宋体" w:cs="Times New Roman"/>
                <w:spacing w:val="5"/>
                <w:sz w:val="19"/>
                <w:szCs w:val="19"/>
              </w:rPr>
              <w:t>**产品</w:t>
            </w:r>
            <w:r>
              <w:rPr>
                <w:rFonts w:hint="default" w:ascii="Times New Roman" w:hAnsi="Times New Roman" w:eastAsia="宋体" w:cs="Times New Roman"/>
                <w:spacing w:val="5"/>
                <w:sz w:val="19"/>
                <w:szCs w:val="19"/>
                <w:lang w:eastAsia="zh-CN"/>
              </w:rPr>
              <w:t>或服务项目</w:t>
            </w:r>
          </w:p>
        </w:tc>
        <w:tc>
          <w:tcPr>
            <w:tcW w:w="5679" w:type="dxa"/>
            <w:vAlign w:val="top"/>
          </w:tcPr>
          <w:p w14:paraId="1D59E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一、</w:t>
            </w:r>
            <w:r>
              <w:rPr>
                <w:rFonts w:hint="default" w:ascii="Times New Roman" w:hAnsi="Times New Roman" w:eastAsia="宋体" w:cs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技术要求</w:t>
            </w:r>
            <w:r>
              <w:rPr>
                <w:rFonts w:hint="default" w:ascii="Times New Roman" w:hAnsi="Times New Roman" w:eastAsia="宋体" w:cs="Times New Roman"/>
                <w:spacing w:val="1"/>
                <w:sz w:val="19"/>
                <w:szCs w:val="19"/>
                <w:lang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或服务内容</w:t>
            </w:r>
            <w:r>
              <w:rPr>
                <w:rFonts w:hint="default" w:ascii="Times New Roman" w:hAnsi="Times New Roman" w:eastAsia="宋体" w:cs="Times New Roman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</w:t>
            </w:r>
            <w:r>
              <w:rPr>
                <w:rFonts w:hint="default" w:ascii="Times New Roman" w:hAnsi="Times New Roman" w:eastAsia="宋体" w:cs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"/>
                <w:sz w:val="19"/>
                <w:szCs w:val="19"/>
              </w:rPr>
              <w:t>(以下属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"/>
                <w:sz w:val="19"/>
                <w:szCs w:val="19"/>
                <w:lang w:val="en-US" w:eastAsia="zh-CN"/>
              </w:rPr>
              <w:t>参考内容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"/>
                <w:sz w:val="19"/>
                <w:szCs w:val="19"/>
              </w:rPr>
              <w:t>)</w:t>
            </w:r>
          </w:p>
          <w:p w14:paraId="33FB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8"/>
                <w:sz w:val="19"/>
                <w:szCs w:val="19"/>
              </w:rPr>
              <w:t>技术要求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19"/>
                <w:szCs w:val="19"/>
              </w:rPr>
              <w:t>是指对采购标的的功能和质量要求，包括性能、材料、结</w:t>
            </w:r>
            <w:r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7"/>
                <w:sz w:val="19"/>
                <w:szCs w:val="19"/>
              </w:rPr>
              <w:t>构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6"/>
                <w:sz w:val="19"/>
                <w:szCs w:val="19"/>
              </w:rPr>
              <w:t>、外观、安全，或者服务内容和标准等。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9"/>
                <w:szCs w:val="19"/>
              </w:rPr>
              <w:t>可以直接引用相关国家标准</w:t>
            </w:r>
            <w:r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  <w:t xml:space="preserve">、行业标准、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9"/>
                <w:szCs w:val="19"/>
              </w:rPr>
              <w:t>地方标准等标准</w:t>
            </w:r>
            <w:r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  <w:t>、规范，也可以根据项目目标提出更高的技术要求。</w:t>
            </w:r>
          </w:p>
          <w:p w14:paraId="7B5F2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left="7" w:firstLine="519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6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9"/>
                <w:szCs w:val="19"/>
              </w:rPr>
              <w:t>清单中有进口仪器设备的，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6"/>
                <w:sz w:val="19"/>
                <w:szCs w:val="19"/>
              </w:rPr>
              <w:t>需填写省财政厅</w:t>
            </w:r>
            <w:r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0"/>
                <w:sz w:val="19"/>
                <w:szCs w:val="19"/>
              </w:rPr>
              <w:t>《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6"/>
                <w:sz w:val="19"/>
                <w:szCs w:val="19"/>
              </w:rPr>
              <w:t>进口产品申请表》后逐级报批，并按省财政厅的相关规定组织专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sz w:val="19"/>
                <w:szCs w:val="19"/>
              </w:rPr>
              <w:t>家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9"/>
                <w:szCs w:val="19"/>
              </w:rPr>
              <w:t>论证。</w:t>
            </w:r>
          </w:p>
          <w:p w14:paraId="3A45D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left="5" w:firstLine="521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12"/>
                <w:sz w:val="19"/>
                <w:szCs w:val="19"/>
              </w:rPr>
              <w:t>经论证通过的采购技术参数作为实施采购的依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0"/>
                <w:sz w:val="19"/>
                <w:szCs w:val="19"/>
              </w:rPr>
              <w:t>据，申购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0"/>
                <w:sz w:val="19"/>
                <w:szCs w:val="19"/>
                <w:lang w:val="en-US" w:eastAsia="zh-CN"/>
              </w:rPr>
              <w:t>部门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0"/>
                <w:sz w:val="19"/>
                <w:szCs w:val="19"/>
              </w:rPr>
              <w:t>相关人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9"/>
                <w:szCs w:val="19"/>
              </w:rPr>
              <w:t>不得修改。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0"/>
                <w:sz w:val="19"/>
                <w:szCs w:val="19"/>
              </w:rPr>
              <w:t>若采购过程中确需调整，需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0"/>
                <w:sz w:val="19"/>
                <w:szCs w:val="19"/>
                <w:lang w:val="en-US" w:eastAsia="zh-CN"/>
              </w:rPr>
              <w:t>职能管理部门、资产管理处及分管院领导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2"/>
                <w:sz w:val="19"/>
                <w:szCs w:val="19"/>
              </w:rPr>
              <w:t>审批。对于调整预算价值占比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9"/>
                <w:szCs w:val="19"/>
              </w:rPr>
              <w:t>大于30%的项目必须重新组织论证。</w:t>
            </w:r>
          </w:p>
          <w:p w14:paraId="37D06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8" w:right="2" w:firstLine="509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9"/>
                <w:szCs w:val="19"/>
              </w:rPr>
              <w:t xml:space="preserve">(法规内容)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9"/>
                <w:sz w:val="19"/>
                <w:szCs w:val="19"/>
              </w:rPr>
              <w:t>除单一来源采购项目外，技术要求不得指向特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19"/>
                <w:szCs w:val="19"/>
              </w:rPr>
              <w:t>定</w:t>
            </w:r>
            <w:r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8"/>
                <w:sz w:val="19"/>
                <w:szCs w:val="19"/>
              </w:rPr>
              <w:t>的专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2"/>
                <w:sz w:val="19"/>
                <w:szCs w:val="19"/>
              </w:rPr>
              <w:t>利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9"/>
                <w:sz w:val="19"/>
                <w:szCs w:val="19"/>
              </w:rPr>
              <w:t>、商标、品牌、技术路线等，提供技术参数需要三家及以上</w:t>
            </w:r>
            <w:r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0"/>
                <w:sz w:val="19"/>
                <w:szCs w:val="19"/>
              </w:rPr>
              <w:t>厂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8"/>
                <w:sz w:val="19"/>
                <w:szCs w:val="19"/>
              </w:rPr>
              <w:t>家满足，而非三家供应商。</w:t>
            </w:r>
          </w:p>
          <w:p w14:paraId="280A4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7" w:line="240" w:lineRule="exact"/>
              <w:ind w:left="140"/>
              <w:textAlignment w:val="auto"/>
              <w:rPr>
                <w:rFonts w:hint="default" w:ascii="Times New Roman" w:hAnsi="Times New Roman" w:eastAsia="MS Gothic" w:cs="Times New Roman"/>
                <w:color w:val="auto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1"/>
                <w:position w:val="9"/>
                <w:sz w:val="19"/>
                <w:szCs w:val="19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6"/>
                <w:position w:val="9"/>
                <w:sz w:val="19"/>
                <w:szCs w:val="19"/>
              </w:rPr>
              <w:t>.某项指标:</w:t>
            </w:r>
            <w:r>
              <w:rPr>
                <w:rFonts w:hint="default" w:ascii="Times New Roman" w:hAnsi="Times New Roman" w:eastAsia="MS Gothic" w:cs="Times New Roman"/>
                <w:color w:val="auto"/>
                <w:spacing w:val="-6"/>
                <w:position w:val="9"/>
                <w:sz w:val="19"/>
                <w:szCs w:val="19"/>
              </w:rPr>
              <w:t>……</w:t>
            </w:r>
          </w:p>
          <w:p w14:paraId="66F56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8"/>
              <w:textAlignment w:val="auto"/>
              <w:rPr>
                <w:rFonts w:hint="default" w:ascii="Times New Roman" w:hAnsi="Times New Roman" w:eastAsia="MS Gothic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7"/>
                <w:sz w:val="19"/>
                <w:szCs w:val="19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5"/>
                <w:sz w:val="19"/>
                <w:szCs w:val="19"/>
              </w:rPr>
              <w:t>.某项指标:</w:t>
            </w:r>
            <w:r>
              <w:rPr>
                <w:rFonts w:hint="default" w:ascii="Times New Roman" w:hAnsi="Times New Roman" w:eastAsia="MS Gothic" w:cs="Times New Roman"/>
                <w:color w:val="auto"/>
                <w:spacing w:val="-5"/>
                <w:sz w:val="19"/>
                <w:szCs w:val="19"/>
              </w:rPr>
              <w:t>……</w:t>
            </w:r>
          </w:p>
        </w:tc>
        <w:tc>
          <w:tcPr>
            <w:tcW w:w="555" w:type="dxa"/>
            <w:vAlign w:val="top"/>
          </w:tcPr>
          <w:p w14:paraId="4B45F5E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56" w:type="dxa"/>
            <w:vAlign w:val="top"/>
          </w:tcPr>
          <w:p w14:paraId="55D61CF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4B06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58" w:type="dxa"/>
            <w:vAlign w:val="top"/>
          </w:tcPr>
          <w:p w14:paraId="6DF1A141">
            <w:pPr>
              <w:spacing w:before="88" w:line="190" w:lineRule="auto"/>
              <w:ind w:left="240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z w:val="19"/>
                <w:szCs w:val="19"/>
              </w:rPr>
              <w:t>2</w:t>
            </w:r>
          </w:p>
        </w:tc>
        <w:tc>
          <w:tcPr>
            <w:tcW w:w="1109" w:type="dxa"/>
            <w:vAlign w:val="top"/>
          </w:tcPr>
          <w:p w14:paraId="66181B03">
            <w:pPr>
              <w:spacing w:before="54" w:line="233" w:lineRule="auto"/>
              <w:ind w:left="483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83"/>
                <w:sz w:val="19"/>
                <w:szCs w:val="19"/>
              </w:rPr>
              <w:t>„</w:t>
            </w:r>
          </w:p>
        </w:tc>
        <w:tc>
          <w:tcPr>
            <w:tcW w:w="5679" w:type="dxa"/>
            <w:vAlign w:val="top"/>
          </w:tcPr>
          <w:p w14:paraId="189CD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40" w:lineRule="exact"/>
              <w:ind w:left="2728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9"/>
                <w:szCs w:val="19"/>
              </w:rPr>
              <w:t>同</w:t>
            </w:r>
            <w:r>
              <w:rPr>
                <w:rFonts w:hint="default" w:ascii="Times New Roman" w:hAnsi="Times New Roman" w:eastAsia="宋体" w:cs="Times New Roman"/>
                <w:spacing w:val="-2"/>
                <w:sz w:val="19"/>
                <w:szCs w:val="19"/>
              </w:rPr>
              <w:t>上</w:t>
            </w:r>
          </w:p>
        </w:tc>
        <w:tc>
          <w:tcPr>
            <w:tcW w:w="555" w:type="dxa"/>
            <w:vAlign w:val="top"/>
          </w:tcPr>
          <w:p w14:paraId="575B822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56" w:type="dxa"/>
            <w:vAlign w:val="top"/>
          </w:tcPr>
          <w:p w14:paraId="09471768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B341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5" w:hRule="atLeast"/>
        </w:trPr>
        <w:tc>
          <w:tcPr>
            <w:tcW w:w="558" w:type="dxa"/>
            <w:vAlign w:val="top"/>
          </w:tcPr>
          <w:p w14:paraId="2F198178">
            <w:pPr>
              <w:spacing w:line="25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25E439E">
            <w:pPr>
              <w:spacing w:line="25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A471647">
            <w:pPr>
              <w:spacing w:line="25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E6E88F5">
            <w:pPr>
              <w:spacing w:line="25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35F8BAD">
            <w:pPr>
              <w:spacing w:line="25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92919F6">
            <w:pPr>
              <w:spacing w:line="25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0F5A1AD">
            <w:pPr>
              <w:spacing w:line="25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93E7D8D">
            <w:pPr>
              <w:spacing w:line="25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0E0325B">
            <w:pPr>
              <w:spacing w:line="25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B2B0D13">
            <w:pPr>
              <w:spacing w:line="25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ACD3CDF">
            <w:pPr>
              <w:spacing w:before="62" w:line="189" w:lineRule="auto"/>
              <w:ind w:left="241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z w:val="19"/>
                <w:szCs w:val="19"/>
              </w:rPr>
              <w:t>3</w:t>
            </w:r>
          </w:p>
        </w:tc>
        <w:tc>
          <w:tcPr>
            <w:tcW w:w="1109" w:type="dxa"/>
            <w:vAlign w:val="top"/>
          </w:tcPr>
          <w:p w14:paraId="211DF69E">
            <w:pPr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27AF303">
            <w:pPr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7A72C28">
            <w:pPr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8903B84">
            <w:pPr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06820F2">
            <w:pPr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00EE2C9">
            <w:pPr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0BCDB85">
            <w:pPr>
              <w:spacing w:line="25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F3313B1">
            <w:pPr>
              <w:spacing w:line="25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150F9DA">
            <w:pPr>
              <w:spacing w:line="25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ED08B9D">
            <w:pPr>
              <w:spacing w:line="25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61F44A5">
            <w:pPr>
              <w:spacing w:before="62" w:line="228" w:lineRule="auto"/>
              <w:ind w:left="174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19"/>
                <w:szCs w:val="19"/>
              </w:rPr>
              <w:t>商</w:t>
            </w:r>
            <w:r>
              <w:rPr>
                <w:rFonts w:hint="default" w:ascii="Times New Roman" w:hAnsi="Times New Roman" w:eastAsia="宋体" w:cs="Times New Roman"/>
                <w:spacing w:val="6"/>
                <w:sz w:val="19"/>
                <w:szCs w:val="19"/>
              </w:rPr>
              <w:t>务要求</w:t>
            </w:r>
          </w:p>
        </w:tc>
        <w:tc>
          <w:tcPr>
            <w:tcW w:w="5679" w:type="dxa"/>
            <w:vAlign w:val="top"/>
          </w:tcPr>
          <w:p w14:paraId="320A9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二、商务</w:t>
            </w:r>
            <w:r>
              <w:rPr>
                <w:rFonts w:hint="default" w:ascii="Times New Roman" w:hAnsi="Times New Roman" w:eastAsia="宋体" w:cs="Times New Roman"/>
                <w:spacing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要求：</w:t>
            </w:r>
            <w:r>
              <w:rPr>
                <w:rFonts w:hint="default" w:ascii="Times New Roman" w:hAnsi="Times New Roman" w:eastAsia="宋体" w:cs="Times New Roman"/>
                <w:spacing w:val="4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19"/>
                <w:szCs w:val="19"/>
              </w:rPr>
              <w:t xml:space="preserve">  (以下属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19"/>
                <w:szCs w:val="19"/>
                <w:lang w:val="en-US" w:eastAsia="zh-CN"/>
              </w:rPr>
              <w:t>参考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19"/>
                <w:szCs w:val="19"/>
              </w:rPr>
              <w:t>内容)</w:t>
            </w:r>
          </w:p>
          <w:p w14:paraId="0E626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exact"/>
              <w:ind w:left="113" w:firstLine="39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2"/>
                <w:sz w:val="19"/>
                <w:szCs w:val="19"/>
              </w:rPr>
              <w:t>商务要求是指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"/>
                <w:sz w:val="19"/>
                <w:szCs w:val="19"/>
              </w:rPr>
              <w:t>取得采购标的的时间、地点、财务和服务要求， 包括</w:t>
            </w:r>
            <w:r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2"/>
                <w:sz w:val="19"/>
                <w:szCs w:val="19"/>
              </w:rPr>
              <w:t>交付(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8"/>
                <w:sz w:val="19"/>
                <w:szCs w:val="19"/>
              </w:rPr>
              <w:t>实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6"/>
                <w:sz w:val="19"/>
                <w:szCs w:val="19"/>
              </w:rPr>
              <w:t>施)的时间(期限)和地点(范围),付款条件(进度和方式)，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8"/>
                <w:sz w:val="19"/>
                <w:szCs w:val="19"/>
              </w:rPr>
              <w:t>包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7"/>
                <w:sz w:val="19"/>
                <w:szCs w:val="19"/>
              </w:rPr>
              <w:t>装和运输，售后服务，保险等。</w:t>
            </w:r>
          </w:p>
          <w:p w14:paraId="59599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10"/>
                <w:sz w:val="19"/>
                <w:szCs w:val="19"/>
              </w:rPr>
              <w:t>1.免</w:t>
            </w:r>
            <w:r>
              <w:rPr>
                <w:rFonts w:hint="default" w:ascii="Times New Roman" w:hAnsi="Times New Roman" w:eastAsia="宋体" w:cs="Times New Roman"/>
                <w:spacing w:val="9"/>
                <w:sz w:val="19"/>
                <w:szCs w:val="19"/>
              </w:rPr>
              <w:t>费</w:t>
            </w:r>
            <w:r>
              <w:rPr>
                <w:rFonts w:hint="default" w:ascii="Times New Roman" w:hAnsi="Times New Roman" w:eastAsia="宋体" w:cs="Times New Roman"/>
                <w:spacing w:val="5"/>
                <w:sz w:val="19"/>
                <w:szCs w:val="19"/>
              </w:rPr>
              <w:t>质保期： 必须提供所响应设备通过最终验收合格、签署验收</w:t>
            </w:r>
            <w:r>
              <w:rPr>
                <w:rFonts w:hint="default" w:ascii="Times New Roman" w:hAnsi="Times New Roman" w:eastAsia="宋体" w:cs="Times New Roman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3"/>
                <w:sz w:val="19"/>
                <w:szCs w:val="19"/>
              </w:rPr>
              <w:t>合格证书并办理移交手续之日起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3"/>
                <w:sz w:val="19"/>
                <w:szCs w:val="19"/>
              </w:rPr>
              <w:t>？</w:t>
            </w:r>
            <w:r>
              <w:rPr>
                <w:rFonts w:hint="default" w:ascii="Times New Roman" w:hAnsi="Times New Roman" w:eastAsia="宋体" w:cs="Times New Roman"/>
                <w:spacing w:val="3"/>
                <w:sz w:val="19"/>
                <w:szCs w:val="19"/>
              </w:rPr>
              <w:t>个月的免费质量保证期， 在免</w:t>
            </w:r>
            <w:r>
              <w:rPr>
                <w:rFonts w:hint="default" w:ascii="Times New Roman" w:hAnsi="Times New Roman" w:eastAsia="宋体" w:cs="Times New Roman"/>
                <w:spacing w:val="9"/>
                <w:sz w:val="19"/>
                <w:szCs w:val="19"/>
              </w:rPr>
              <w:t>费</w:t>
            </w:r>
            <w:r>
              <w:rPr>
                <w:rFonts w:hint="default" w:ascii="Times New Roman" w:hAnsi="Times New Roman" w:eastAsia="宋体" w:cs="Times New Roman"/>
                <w:spacing w:val="7"/>
                <w:sz w:val="19"/>
                <w:szCs w:val="19"/>
              </w:rPr>
              <w:t>质量保证期内实行“三包”服务。</w:t>
            </w:r>
          </w:p>
          <w:p w14:paraId="37E73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" w:firstLine="3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19"/>
                <w:szCs w:val="19"/>
              </w:rPr>
              <w:t>2.付款方式：中标(成</w:t>
            </w:r>
            <w:r>
              <w:rPr>
                <w:rFonts w:hint="default" w:ascii="Times New Roman" w:hAnsi="Times New Roman" w:eastAsia="宋体" w:cs="Times New Roman"/>
                <w:spacing w:val="2"/>
                <w:sz w:val="19"/>
                <w:szCs w:val="19"/>
              </w:rPr>
              <w:t>交) 通知书发出之日起30 天以内， 供应商应</w:t>
            </w:r>
            <w:r>
              <w:rPr>
                <w:rFonts w:hint="default" w:ascii="Times New Roman" w:hAnsi="Times New Roman" w:eastAsia="宋体" w:cs="Times New Roman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4"/>
                <w:sz w:val="19"/>
                <w:szCs w:val="19"/>
              </w:rPr>
              <w:t>向采购人交付合同总价款的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>%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-10%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 xml:space="preserve"> (工程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>%)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2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2"/>
                <w:sz w:val="19"/>
                <w:szCs w:val="19"/>
              </w:rPr>
              <w:t>作为履约保证金。项目质</w:t>
            </w:r>
            <w:r>
              <w:rPr>
                <w:rFonts w:hint="default" w:ascii="Times New Roman" w:hAnsi="Times New Roman" w:eastAsia="宋体" w:cs="Times New Roman"/>
                <w:spacing w:val="18"/>
                <w:sz w:val="19"/>
                <w:szCs w:val="19"/>
              </w:rPr>
              <w:t>保期</w:t>
            </w:r>
            <w:r>
              <w:rPr>
                <w:rFonts w:hint="default" w:ascii="Times New Roman" w:hAnsi="Times New Roman" w:eastAsia="宋体" w:cs="Times New Roman"/>
                <w:spacing w:val="13"/>
                <w:sz w:val="19"/>
                <w:szCs w:val="19"/>
              </w:rPr>
              <w:t>结</w:t>
            </w:r>
            <w:r>
              <w:rPr>
                <w:rFonts w:hint="default" w:ascii="Times New Roman" w:hAnsi="Times New Roman" w:eastAsia="宋体" w:cs="Times New Roman"/>
                <w:spacing w:val="9"/>
                <w:sz w:val="19"/>
                <w:szCs w:val="19"/>
              </w:rPr>
              <w:t>束后，在质量无问题及售后服务无瑕疵的情况下，采购人根</w:t>
            </w:r>
            <w:r>
              <w:rPr>
                <w:rFonts w:hint="default" w:ascii="Times New Roman" w:hAnsi="Times New Roman" w:eastAsia="宋体" w:cs="Times New Roman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11"/>
                <w:sz w:val="19"/>
                <w:szCs w:val="19"/>
              </w:rPr>
              <w:t>据</w:t>
            </w:r>
            <w:r>
              <w:rPr>
                <w:rFonts w:hint="default" w:ascii="Times New Roman" w:hAnsi="Times New Roman" w:eastAsia="宋体" w:cs="Times New Roman"/>
                <w:spacing w:val="8"/>
                <w:sz w:val="19"/>
                <w:szCs w:val="19"/>
              </w:rPr>
              <w:t>中标人申请报告一次性全额无息退还履约保证金。</w:t>
            </w:r>
            <w:r>
              <w:rPr>
                <w:rFonts w:hint="default" w:ascii="Times New Roman" w:hAnsi="Times New Roman" w:eastAsia="宋体" w:cs="Times New Roman"/>
                <w:sz w:val="19"/>
                <w:szCs w:val="19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spacing w:val="8"/>
                <w:sz w:val="19"/>
                <w:szCs w:val="19"/>
              </w:rPr>
              <w:t>3</w:t>
            </w:r>
            <w:r>
              <w:rPr>
                <w:rFonts w:hint="default" w:ascii="Times New Roman" w:hAnsi="Times New Roman" w:eastAsia="宋体" w:cs="Times New Roman"/>
                <w:spacing w:val="4"/>
                <w:sz w:val="19"/>
                <w:szCs w:val="19"/>
              </w:rPr>
              <w:t>.供货及安装地点：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19"/>
                <w:szCs w:val="19"/>
              </w:rPr>
              <w:t>？？</w:t>
            </w:r>
          </w:p>
          <w:p w14:paraId="5AF23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19"/>
                <w:szCs w:val="19"/>
              </w:rPr>
              <w:t>4.供货及安装期限：合同签订生效后？个工作日完成安装调试并 交付使用。</w:t>
            </w:r>
          </w:p>
          <w:p w14:paraId="7170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19"/>
                <w:szCs w:val="19"/>
              </w:rPr>
              <w:t>5.培训要求： ？？</w:t>
            </w:r>
          </w:p>
          <w:p w14:paraId="7AD33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19"/>
                <w:szCs w:val="19"/>
              </w:rPr>
              <w:t>6.其他售后服务条款：</w:t>
            </w:r>
          </w:p>
        </w:tc>
        <w:tc>
          <w:tcPr>
            <w:tcW w:w="555" w:type="dxa"/>
            <w:vAlign w:val="top"/>
          </w:tcPr>
          <w:p w14:paraId="236909B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556" w:type="dxa"/>
            <w:vAlign w:val="top"/>
          </w:tcPr>
          <w:p w14:paraId="4E93EED9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4E320657">
      <w:pPr>
        <w:pStyle w:val="2"/>
        <w:ind w:left="0" w:leftChars="0" w:firstLine="0" w:firstLineChars="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C73F27D-2A98-4703-BCF1-E85F0F5A745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6D06C14-F650-49AD-945C-AD70EB01F46C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  <w:embedRegular r:id="rId3" w:fontKey="{FC363E27-28E3-4556-BE4D-159D93CBA06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YjQzNDcxYTNkOTIzYzZiODRlYjgyMDY3OGQ4ZWIifQ=="/>
  </w:docVars>
  <w:rsids>
    <w:rsidRoot w:val="295E2B63"/>
    <w:rsid w:val="01542DFE"/>
    <w:rsid w:val="02D9773B"/>
    <w:rsid w:val="034D0177"/>
    <w:rsid w:val="06E44477"/>
    <w:rsid w:val="07A8169D"/>
    <w:rsid w:val="098665FC"/>
    <w:rsid w:val="0E4649FD"/>
    <w:rsid w:val="11C2568C"/>
    <w:rsid w:val="14962809"/>
    <w:rsid w:val="1CDA4172"/>
    <w:rsid w:val="1D962818"/>
    <w:rsid w:val="295E2B63"/>
    <w:rsid w:val="2AC57F6D"/>
    <w:rsid w:val="2E885EE3"/>
    <w:rsid w:val="2E97177C"/>
    <w:rsid w:val="33D34551"/>
    <w:rsid w:val="37313A42"/>
    <w:rsid w:val="37F52C20"/>
    <w:rsid w:val="3C230512"/>
    <w:rsid w:val="3DF94326"/>
    <w:rsid w:val="40400065"/>
    <w:rsid w:val="4056408A"/>
    <w:rsid w:val="43A10D69"/>
    <w:rsid w:val="472B595C"/>
    <w:rsid w:val="4EC05997"/>
    <w:rsid w:val="50804C1B"/>
    <w:rsid w:val="62BE57A5"/>
    <w:rsid w:val="6A8A0328"/>
    <w:rsid w:val="6B425366"/>
    <w:rsid w:val="6F21724E"/>
    <w:rsid w:val="72447549"/>
    <w:rsid w:val="75744A30"/>
    <w:rsid w:val="75CA3A99"/>
    <w:rsid w:val="7EE2783B"/>
    <w:rsid w:val="7F54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2516</Words>
  <Characters>2695</Characters>
  <Lines>0</Lines>
  <Paragraphs>0</Paragraphs>
  <TotalTime>12</TotalTime>
  <ScaleCrop>false</ScaleCrop>
  <LinksUpToDate>false</LinksUpToDate>
  <CharactersWithSpaces>2740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2025-03-19T01:30:00Z</dcterms:created>
  <dc:creator>jxgm</dc:creator>
  <cp:lastModifiedBy>聂慧芬</cp:lastModifiedBy>
  <dcterms:modified xsi:type="dcterms:W3CDTF">2026-09-02T03:43:12Z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D68DEFB66C20417D849C2948F551E9C0_13</vt:lpwstr>
  </property>
  <property fmtid="{D5CDD505-2E9C-101B-9397-08002B2CF9AE}" pid="4" name="KSOTemplateDocerSaveRecord">
    <vt:lpwstr>eyJoZGlkIjoiYjExOTUzZjQ0MWQwYjY2NDNmNjE2MzEwNWEzYWExOTMiLCJ1c2VySWQiOiIxNTUzNzA4Mzg1In0=</vt:lpwstr>
  </property>
</Properties>
</file>